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6C9" w:rsidRPr="00F83D11" w:rsidRDefault="004976C9" w:rsidP="004976C9">
      <w:pPr>
        <w:pStyle w:val="Title"/>
        <w:rPr>
          <w:sz w:val="40"/>
          <w:szCs w:val="40"/>
        </w:rPr>
      </w:pPr>
      <w:r w:rsidRPr="00F83D11">
        <w:rPr>
          <w:b/>
          <w:sz w:val="40"/>
          <w:szCs w:val="40"/>
        </w:rPr>
        <w:t xml:space="preserve">Codebook for </w:t>
      </w:r>
      <w:r w:rsidR="00154265" w:rsidRPr="00F83D11">
        <w:rPr>
          <w:sz w:val="40"/>
          <w:szCs w:val="40"/>
        </w:rPr>
        <w:t>“Uniformity in Dress: A Worldwide Cross-Cultural Comparison”</w:t>
      </w:r>
      <w:r w:rsidRPr="00F83D11">
        <w:rPr>
          <w:sz w:val="40"/>
          <w:szCs w:val="40"/>
        </w:rPr>
        <w:t xml:space="preserve"> by </w:t>
      </w:r>
      <w:r w:rsidRPr="00F83D11">
        <w:rPr>
          <w:sz w:val="40"/>
          <w:szCs w:val="40"/>
        </w:rPr>
        <w:t>Carol R. Ember, Abbe McCarter, and Erik Ringen</w:t>
      </w:r>
    </w:p>
    <w:p w:rsidR="00855760" w:rsidRPr="00F83D11" w:rsidRDefault="004976C9" w:rsidP="004976C9">
      <w:pPr>
        <w:pStyle w:val="Title"/>
        <w:rPr>
          <w:sz w:val="40"/>
          <w:szCs w:val="40"/>
        </w:rPr>
      </w:pPr>
      <w:r w:rsidRPr="00F83D11">
        <w:rPr>
          <w:sz w:val="40"/>
          <w:szCs w:val="40"/>
        </w:rPr>
        <w:t xml:space="preserve"> (</w:t>
      </w:r>
      <w:r w:rsidR="00F83D11">
        <w:rPr>
          <w:sz w:val="40"/>
          <w:szCs w:val="40"/>
        </w:rPr>
        <w:t xml:space="preserve">accepted in </w:t>
      </w:r>
      <w:r w:rsidRPr="00F83D11">
        <w:rPr>
          <w:i/>
          <w:sz w:val="40"/>
          <w:szCs w:val="40"/>
        </w:rPr>
        <w:t>Human Nature</w:t>
      </w:r>
      <w:r w:rsidR="00F83D11">
        <w:rPr>
          <w:sz w:val="40"/>
          <w:szCs w:val="40"/>
        </w:rPr>
        <w:t>, forthcoming</w:t>
      </w:r>
      <w:bookmarkStart w:id="0" w:name="_GoBack"/>
      <w:bookmarkEnd w:id="0"/>
      <w:r w:rsidRPr="00F83D11">
        <w:rPr>
          <w:sz w:val="40"/>
          <w:szCs w:val="40"/>
        </w:rPr>
        <w:t xml:space="preserve">) </w:t>
      </w:r>
    </w:p>
    <w:p w:rsidR="004976C9" w:rsidRDefault="004976C9"/>
    <w:p w:rsidR="004976C9" w:rsidRDefault="004976C9">
      <w:r>
        <w:t>Included in the codebook are:</w:t>
      </w:r>
    </w:p>
    <w:p w:rsidR="004976C9" w:rsidRDefault="004976C9"/>
    <w:p w:rsidR="004976C9" w:rsidRDefault="004976C9" w:rsidP="004976C9">
      <w:pPr>
        <w:pStyle w:val="ListParagraph"/>
        <w:numPr>
          <w:ilvl w:val="0"/>
          <w:numId w:val="4"/>
        </w:numPr>
      </w:pPr>
      <w:r>
        <w:t xml:space="preserve">the cases we coded from the Standard Cross-Cultural Sample </w:t>
      </w:r>
    </w:p>
    <w:p w:rsidR="004976C9" w:rsidRDefault="004976C9" w:rsidP="004976C9">
      <w:pPr>
        <w:pStyle w:val="ListParagraph"/>
        <w:numPr>
          <w:ilvl w:val="0"/>
          <w:numId w:val="4"/>
        </w:numPr>
      </w:pPr>
      <w:r>
        <w:t>the newly coded variables  on clothing</w:t>
      </w:r>
    </w:p>
    <w:p w:rsidR="004976C9" w:rsidRDefault="004976C9" w:rsidP="004976C9">
      <w:pPr>
        <w:pStyle w:val="ListParagraph"/>
        <w:numPr>
          <w:ilvl w:val="0"/>
          <w:numId w:val="4"/>
        </w:numPr>
      </w:pPr>
      <w:r>
        <w:t>the newly coded variables on adornment</w:t>
      </w:r>
    </w:p>
    <w:p w:rsidR="004976C9" w:rsidRDefault="004976C9" w:rsidP="004976C9">
      <w:pPr>
        <w:pStyle w:val="ListParagraph"/>
        <w:numPr>
          <w:ilvl w:val="0"/>
          <w:numId w:val="4"/>
        </w:numPr>
      </w:pPr>
      <w:r>
        <w:t>Model variable definitions for the latent factors</w:t>
      </w:r>
    </w:p>
    <w:p w:rsidR="004976C9" w:rsidRDefault="004976C9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855760" w:rsidRPr="004976C9" w:rsidRDefault="00154265" w:rsidP="004976C9">
      <w:pPr>
        <w:pStyle w:val="ListParagraph"/>
        <w:numPr>
          <w:ilvl w:val="0"/>
          <w:numId w:val="2"/>
        </w:numPr>
        <w:rPr>
          <w:sz w:val="40"/>
          <w:szCs w:val="40"/>
        </w:rPr>
      </w:pPr>
      <w:r>
        <w:br w:type="page"/>
      </w:r>
    </w:p>
    <w:p w:rsidR="00855760" w:rsidRDefault="00855760">
      <w:pPr>
        <w:rPr>
          <w:sz w:val="32"/>
          <w:szCs w:val="32"/>
        </w:rPr>
      </w:pPr>
    </w:p>
    <w:p w:rsidR="00855760" w:rsidRDefault="00855760">
      <w:pPr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855760" w:rsidRDefault="00154265" w:rsidP="004976C9">
      <w:pPr>
        <w:pStyle w:val="Heading2"/>
        <w:numPr>
          <w:ilvl w:val="0"/>
          <w:numId w:val="3"/>
        </w:numPr>
      </w:pPr>
      <w:bookmarkStart w:id="1" w:name="_Toc136606307"/>
      <w:r>
        <w:t>ID numbers from the Standard Cross-Cultural Sample, society names, and the ethnographic present (EP) for each of the sample cases.</w:t>
      </w:r>
      <w:bookmarkEnd w:id="1"/>
      <w:r>
        <w:t xml:space="preserve"> </w:t>
      </w:r>
    </w:p>
    <w:tbl>
      <w:tblPr>
        <w:tblStyle w:val="a5"/>
        <w:tblW w:w="9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60"/>
        <w:gridCol w:w="1560"/>
        <w:gridCol w:w="1560"/>
        <w:gridCol w:w="1560"/>
        <w:gridCol w:w="1785"/>
        <w:gridCol w:w="1335"/>
      </w:tblGrid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SCCS ID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b/>
                <w:sz w:val="20"/>
                <w:szCs w:val="20"/>
              </w:rPr>
              <w:t>SocName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EP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SCCS ID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b/>
                <w:sz w:val="20"/>
                <w:szCs w:val="20"/>
              </w:rPr>
              <w:t>SocName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EP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!</w:t>
            </w:r>
            <w:proofErr w:type="spellStart"/>
            <w:r>
              <w:rPr>
                <w:sz w:val="20"/>
                <w:szCs w:val="20"/>
              </w:rPr>
              <w:t>Kung_Bushmen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Kimam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1960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Nyakyusa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Kapauku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1955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Hadza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Manus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1929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Ganda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1875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Trobrianders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1914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Mbuti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Siuai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1939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Wolof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Tikopia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Bambara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1902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102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Mbau_Fijians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1840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Tallensi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104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Maori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1820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Songhai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106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Western_Samoans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1829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Pastoral_Fulani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108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Marshallese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1900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Massa_(Masa)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109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Trukese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1947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29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Fur_(Darfur)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1880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110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Yapese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Otoro_Nuba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112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Ifugao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32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Mao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116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Koreans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1947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Masai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117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Japanese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36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Somali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118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Ainu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1880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37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Amhara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119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Gilyak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1890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40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Teda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121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Chukchee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1900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42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Riffians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130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Eyak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1890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43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Egyptians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131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Haida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1875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46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Rwala</w:t>
            </w:r>
            <w:proofErr w:type="spellEnd"/>
            <w:r>
              <w:rPr>
                <w:sz w:val="20"/>
                <w:szCs w:val="20"/>
              </w:rPr>
              <w:t xml:space="preserve"> Bedouin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138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Klamath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1860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47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Turks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Pawnee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1867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52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Lapps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144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Huron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1634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53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Yurak_Samoyed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1894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150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Havasupai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1918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54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Russians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151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Papago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1910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57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Kurd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154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Popoluca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60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Gond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156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Miskito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1921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62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Santal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159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Goajiro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1947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63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Uttar_Pradesh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160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Haitians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1935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64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Burusho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162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Warrau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1935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66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Khalka_Mongols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164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Carib</w:t>
            </w:r>
            <w:proofErr w:type="gramStart"/>
            <w:r>
              <w:rPr>
                <w:sz w:val="20"/>
                <w:szCs w:val="20"/>
              </w:rPr>
              <w:t>_(</w:t>
            </w:r>
            <w:proofErr w:type="spellStart"/>
            <w:proofErr w:type="gramEnd"/>
            <w:r>
              <w:rPr>
                <w:sz w:val="20"/>
                <w:szCs w:val="20"/>
              </w:rPr>
              <w:t>Barama</w:t>
            </w:r>
            <w:proofErr w:type="spellEnd"/>
            <w:r>
              <w:rPr>
                <w:sz w:val="20"/>
                <w:szCs w:val="20"/>
              </w:rPr>
              <w:t xml:space="preserve"> R.)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1932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68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Lepcha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165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Saramacca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1928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70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Lakher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168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Cayapa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1908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72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Lamet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172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Aymara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73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Vietnamese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173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Siriono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1942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85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Iban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179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Shavante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1958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86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Badjau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1963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182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Lengua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1889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Tiwi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184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Mapuche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1950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Aranda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1896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185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Tehuelche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1870</w:t>
            </w:r>
          </w:p>
        </w:tc>
      </w:tr>
      <w:tr w:rsidR="00855760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92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Orokaiva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1925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b/>
                <w:sz w:val="20"/>
                <w:szCs w:val="20"/>
              </w:rPr>
              <w:t>186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sz w:val="20"/>
                <w:szCs w:val="20"/>
              </w:rPr>
              <w:t>Yahgan</w:t>
            </w:r>
            <w:proofErr w:type="spellEnd"/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:rsidR="00855760" w:rsidRDefault="00154265">
            <w:pPr>
              <w:widowControl w:val="0"/>
              <w:rPr>
                <w:rFonts w:ascii="Times New Roman" w:eastAsia="Times New Roman" w:hAnsi="Times New Roman" w:cs="Times New Roman"/>
              </w:rPr>
            </w:pPr>
            <w:r>
              <w:rPr>
                <w:sz w:val="20"/>
                <w:szCs w:val="20"/>
              </w:rPr>
              <w:t>1865</w:t>
            </w:r>
          </w:p>
        </w:tc>
      </w:tr>
    </w:tbl>
    <w:p w:rsidR="00855760" w:rsidRDefault="00855760">
      <w:pPr>
        <w:spacing w:line="360" w:lineRule="auto"/>
        <w:rPr>
          <w:rFonts w:ascii="Times New Roman" w:eastAsia="Times New Roman" w:hAnsi="Times New Roman" w:cs="Times New Roman"/>
          <w:color w:val="FF0000"/>
          <w:sz w:val="20"/>
          <w:szCs w:val="20"/>
        </w:rPr>
      </w:pPr>
    </w:p>
    <w:p w:rsidR="00855760" w:rsidRDefault="00855760">
      <w:pPr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855760" w:rsidRDefault="00154265">
      <w:pPr>
        <w:pStyle w:val="Heading2"/>
      </w:pPr>
      <w:bookmarkStart w:id="2" w:name="_heading=h.4d34og8" w:colFirst="0" w:colLast="0"/>
      <w:bookmarkEnd w:id="2"/>
      <w:r>
        <w:br w:type="page"/>
      </w:r>
    </w:p>
    <w:p w:rsidR="004976C9" w:rsidRDefault="00154265" w:rsidP="004976C9">
      <w:pPr>
        <w:pStyle w:val="Heading2"/>
        <w:numPr>
          <w:ilvl w:val="0"/>
          <w:numId w:val="3"/>
        </w:numPr>
        <w:ind w:right="90"/>
      </w:pPr>
      <w:bookmarkStart w:id="3" w:name="_Toc136606308"/>
      <w:r>
        <w:t>Clothing variable questions and coding options used in this study.</w:t>
      </w:r>
      <w:bookmarkEnd w:id="3"/>
      <w:r w:rsidR="004976C9">
        <w:t xml:space="preserve"> </w:t>
      </w:r>
      <w:r w:rsidR="004976C9">
        <w:t xml:space="preserve">The labels starting with TL are the original coded variables, and the labels in parentheses correspond to the model components. </w:t>
      </w:r>
    </w:p>
    <w:p w:rsidR="00855760" w:rsidRDefault="00855760">
      <w:pPr>
        <w:pStyle w:val="Heading2"/>
      </w:pPr>
    </w:p>
    <w:tbl>
      <w:tblPr>
        <w:tblStyle w:val="a6"/>
        <w:tblW w:w="9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45"/>
        <w:gridCol w:w="5670"/>
      </w:tblGrid>
      <w:tr w:rsidR="00855760">
        <w:trPr>
          <w:trHeight w:val="440"/>
        </w:trPr>
        <w:tc>
          <w:tcPr>
            <w:tcW w:w="4045" w:type="dxa"/>
          </w:tcPr>
          <w:p w:rsidR="00855760" w:rsidRDefault="00154265">
            <w:pPr>
              <w:jc w:val="center"/>
              <w:rPr>
                <w:rFonts w:ascii="Calibri" w:eastAsia="Calibri" w:hAnsi="Calibri" w:cs="Calibri"/>
                <w:b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QUESTION</w:t>
            </w:r>
          </w:p>
        </w:tc>
        <w:tc>
          <w:tcPr>
            <w:tcW w:w="5670" w:type="dxa"/>
          </w:tcPr>
          <w:p w:rsidR="00855760" w:rsidRDefault="00154265">
            <w:pPr>
              <w:jc w:val="center"/>
              <w:rPr>
                <w:rFonts w:ascii="Calibri" w:eastAsia="Calibri" w:hAnsi="Calibri" w:cs="Calibri"/>
                <w:b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CODES</w:t>
            </w:r>
          </w:p>
        </w:tc>
      </w:tr>
      <w:tr w:rsidR="00855760">
        <w:tc>
          <w:tcPr>
            <w:tcW w:w="4045" w:type="dxa"/>
          </w:tcPr>
          <w:p w:rsidR="00855760" w:rsidRDefault="0015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TL-C2a.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CS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highlight w:val="white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</w:rPr>
              <w:t>)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To what extent is clothing standardized among adult males? </w:t>
            </w:r>
          </w:p>
          <w:p w:rsidR="00855760" w:rsidRDefault="008557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sz w:val="26"/>
                <w:szCs w:val="26"/>
              </w:rPr>
            </w:pPr>
          </w:p>
          <w:p w:rsidR="00855760" w:rsidRDefault="00855760">
            <w:pPr>
              <w:rPr>
                <w:rFonts w:ascii="Calibri" w:eastAsia="Calibri" w:hAnsi="Calibri" w:cs="Calibri"/>
                <w:sz w:val="26"/>
                <w:szCs w:val="26"/>
              </w:rPr>
            </w:pPr>
          </w:p>
        </w:tc>
        <w:tc>
          <w:tcPr>
            <w:tcW w:w="567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1=Not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2=Slightly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3=Moderately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4=Very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4.5=Inferred very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55=not applicable because clothing is not worn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88=Confusing</w:t>
            </w:r>
          </w:p>
          <w:p w:rsidR="00855760" w:rsidRDefault="00154265">
            <w:pPr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99=Don’t know</w:t>
            </w:r>
          </w:p>
        </w:tc>
      </w:tr>
      <w:tr w:rsidR="00855760">
        <w:tc>
          <w:tcPr>
            <w:tcW w:w="4045" w:type="dxa"/>
          </w:tcPr>
          <w:p w:rsidR="00855760" w:rsidRDefault="0015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TL-C2b.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CS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highlight w:val="white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</w:rPr>
              <w:t>)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To what extent is clothing standardized among adult women? </w:t>
            </w:r>
          </w:p>
          <w:p w:rsidR="00855760" w:rsidRDefault="00855760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5670" w:type="dxa"/>
          </w:tcPr>
          <w:p w:rsidR="00855760" w:rsidRDefault="00154265">
            <w:pPr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Same as TL-C2a</w:t>
            </w:r>
          </w:p>
        </w:tc>
      </w:tr>
      <w:tr w:rsidR="00855760">
        <w:tc>
          <w:tcPr>
            <w:tcW w:w="4045" w:type="dxa"/>
          </w:tcPr>
          <w:p w:rsidR="00855760" w:rsidRDefault="0015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TL-C3a.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CR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highlight w:val="white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do rules dictate adult male clothing?</w:t>
            </w:r>
          </w:p>
          <w:p w:rsidR="00855760" w:rsidRDefault="00855760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567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0=No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0.5=Inferred No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1=Few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2=Some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3=Many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55=not applicable because clothing is not worn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88=Confusing</w:t>
            </w:r>
          </w:p>
          <w:p w:rsidR="00855760" w:rsidRDefault="00154265">
            <w:pPr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99=Don’t know</w:t>
            </w:r>
          </w:p>
        </w:tc>
      </w:tr>
      <w:tr w:rsidR="00855760">
        <w:tc>
          <w:tcPr>
            <w:tcW w:w="4045" w:type="dxa"/>
          </w:tcPr>
          <w:p w:rsidR="00855760" w:rsidRDefault="0015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TL-C3b.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CR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highlight w:val="white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do rules dictate adult female clothing?</w:t>
            </w:r>
          </w:p>
        </w:tc>
        <w:tc>
          <w:tcPr>
            <w:tcW w:w="5670" w:type="dxa"/>
          </w:tcPr>
          <w:p w:rsidR="00855760" w:rsidRDefault="00154265">
            <w:pPr>
              <w:tabs>
                <w:tab w:val="left" w:pos="720"/>
              </w:tabs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Same as TL-C3a</w:t>
            </w:r>
          </w:p>
        </w:tc>
      </w:tr>
      <w:tr w:rsidR="00855760">
        <w:tc>
          <w:tcPr>
            <w:tcW w:w="404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TL-C9.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CO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Overall, with specific regard to clothing, how free (versus constrained) are people in this culture to act as they please?</w:t>
            </w:r>
          </w:p>
          <w:p w:rsidR="00855760" w:rsidRDefault="00855760">
            <w:pPr>
              <w:rPr>
                <w:rFonts w:ascii="Calibri" w:eastAsia="Calibri" w:hAnsi="Calibri" w:cs="Calibri"/>
                <w:sz w:val="26"/>
                <w:szCs w:val="26"/>
              </w:rPr>
            </w:pPr>
          </w:p>
          <w:p w:rsidR="00855760" w:rsidRDefault="00855760">
            <w:pPr>
              <w:rPr>
                <w:rFonts w:ascii="Calibri" w:eastAsia="Calibri" w:hAnsi="Calibri" w:cs="Calibri"/>
                <w:sz w:val="26"/>
                <w:szCs w:val="26"/>
              </w:rPr>
            </w:pPr>
          </w:p>
        </w:tc>
        <w:tc>
          <w:tcPr>
            <w:tcW w:w="567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1=Not at all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2=Somewhat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3=Moderately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4=Very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55=not applicable because clothing is not worn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88=Confusing</w:t>
            </w:r>
          </w:p>
          <w:p w:rsidR="00855760" w:rsidRDefault="00154265">
            <w:pPr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99=Don’t Know</w:t>
            </w:r>
          </w:p>
        </w:tc>
      </w:tr>
    </w:tbl>
    <w:p w:rsidR="00855760" w:rsidRDefault="00855760">
      <w:pPr>
        <w:spacing w:after="200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855760" w:rsidRDefault="00154265">
      <w:pPr>
        <w:pStyle w:val="Heading2"/>
        <w:ind w:right="2340"/>
      </w:pPr>
      <w:bookmarkStart w:id="4" w:name="_heading=h.17dp8vu" w:colFirst="0" w:colLast="0"/>
      <w:bookmarkEnd w:id="4"/>
      <w:r>
        <w:br w:type="page"/>
      </w:r>
    </w:p>
    <w:p w:rsidR="00855760" w:rsidRDefault="00154265" w:rsidP="004976C9">
      <w:pPr>
        <w:pStyle w:val="Heading2"/>
        <w:numPr>
          <w:ilvl w:val="0"/>
          <w:numId w:val="3"/>
        </w:numPr>
        <w:ind w:right="90"/>
      </w:pPr>
      <w:bookmarkStart w:id="5" w:name="_Toc136606309"/>
      <w:r>
        <w:t>Adornment variable questions and coding options used in this study. The labels starting with TL are the original coded variables, and the labels in parentheses correspond to the model components.</w:t>
      </w:r>
      <w:bookmarkEnd w:id="5"/>
      <w:r>
        <w:t xml:space="preserve"> </w:t>
      </w:r>
    </w:p>
    <w:tbl>
      <w:tblPr>
        <w:tblStyle w:val="a7"/>
        <w:tblW w:w="92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55"/>
        <w:gridCol w:w="5310"/>
      </w:tblGrid>
      <w:tr w:rsidR="00855760">
        <w:trPr>
          <w:trHeight w:val="440"/>
        </w:trPr>
        <w:tc>
          <w:tcPr>
            <w:tcW w:w="3955" w:type="dxa"/>
          </w:tcPr>
          <w:p w:rsidR="00855760" w:rsidRDefault="00154265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QUESTION</w:t>
            </w:r>
          </w:p>
        </w:tc>
        <w:tc>
          <w:tcPr>
            <w:tcW w:w="5310" w:type="dxa"/>
          </w:tcPr>
          <w:p w:rsidR="00855760" w:rsidRDefault="00154265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CODES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TL-A2a.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is permanent adornment standardized among adult males?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1=Not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2=Slightly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3=Moderately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4=Very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4.5=Inferred very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55=not applicable because there is no permanent adornment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88=Confusing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99=Don’t know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TL-A2b.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is permanent adornment standardized among adult females?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Same as TL-A2a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TL-A3a.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do rules dictate adult male permanent adornment?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0=No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0.5=Inferred No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1=Few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2=Some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3=Many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55=not applicable because there is no permanent adornment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88=Confusing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99=Don’t know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TL-A3b.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do rules dictate adult female permanent adornment?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Same as TL-A3a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TL-A6a.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 xml:space="preserve">To what extent is nonpermanent adornment standardized among adult males? Explain. 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1- Not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2- Slightly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3- Moderately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4-Very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4.5=Inferred very standardized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55-not applicable because there is little or no nonpermanent adornment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88-Confusing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99-Don’t know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TL-A6b.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is nonpermanent adornment standardized among adult females? Explain.</w:t>
            </w: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Same as TL-A6b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TL-A7a.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To what extent do rules dictate male nonpermanent adornment?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0=No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0.5=Inferred No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1=Few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2=Some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3=Many rules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55=not applicable because there is no nonpermanent adornment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88=Confusing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99=Don’t know</w:t>
            </w: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TL-A7b.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NP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</w:rPr>
              <w:t>)</w:t>
            </w:r>
            <w:r>
              <w:rPr>
                <w:rFonts w:ascii="Times New Roman" w:eastAsia="Times New Roman" w:hAnsi="Times New Roman" w:cs="Times New Roman"/>
              </w:rPr>
              <w:t>To what extent do rules dictate female nonpermanent adornment?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Same as TL-A7a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855760">
        <w:tc>
          <w:tcPr>
            <w:tcW w:w="3955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TL-A11: (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AO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</w:rPr>
              <w:t>Overall, with regard to adornment, how constrained are individuals to adorn themselves a certain way?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310" w:type="dxa"/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1- Not constrained 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2-Somewhat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3- Moderately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4- Very constrained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55-not applicable because there is no nonpermanent adornment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88-Confusing</w:t>
            </w:r>
          </w:p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99-Don’t Know</w:t>
            </w:r>
          </w:p>
        </w:tc>
      </w:tr>
    </w:tbl>
    <w:p w:rsidR="00855760" w:rsidRDefault="00154265">
      <w:pPr>
        <w:spacing w:after="200"/>
        <w:rPr>
          <w:rFonts w:ascii="Times New Roman" w:eastAsia="Times New Roman" w:hAnsi="Times New Roman" w:cs="Times New Roman"/>
          <w:color w:val="FF0000"/>
        </w:rPr>
      </w:pPr>
      <w:r>
        <w:rPr>
          <w:rFonts w:ascii="Times New Roman" w:eastAsia="Times New Roman" w:hAnsi="Times New Roman" w:cs="Times New Roman"/>
        </w:rPr>
        <w:t>^ = The coding options are the same as the question directly above.</w:t>
      </w:r>
    </w:p>
    <w:p w:rsidR="00855760" w:rsidRDefault="00154265">
      <w:pPr>
        <w:pStyle w:val="Heading2"/>
        <w:rPr>
          <w:b/>
        </w:rPr>
      </w:pPr>
      <w:bookmarkStart w:id="6" w:name="_heading=h.26in1rg" w:colFirst="0" w:colLast="0"/>
      <w:bookmarkEnd w:id="6"/>
      <w:r>
        <w:br w:type="page"/>
      </w:r>
    </w:p>
    <w:p w:rsidR="00855760" w:rsidRDefault="00154265" w:rsidP="004976C9">
      <w:pPr>
        <w:pStyle w:val="Heading2"/>
        <w:numPr>
          <w:ilvl w:val="0"/>
          <w:numId w:val="3"/>
        </w:numPr>
      </w:pPr>
      <w:bookmarkStart w:id="7" w:name="_Toc136606310"/>
      <w:r>
        <w:t>Model variable definitions for the latent factors</w:t>
      </w:r>
      <w:bookmarkEnd w:id="7"/>
    </w:p>
    <w:tbl>
      <w:tblPr>
        <w:tblStyle w:val="a8"/>
        <w:tblW w:w="7830" w:type="dxa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10"/>
        <w:gridCol w:w="6420"/>
      </w:tblGrid>
      <w:tr w:rsidR="00855760">
        <w:trPr>
          <w:trHeight w:val="540"/>
        </w:trPr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center"/>
              <w:rPr>
                <w:rFonts w:ascii="Times New Roman" w:eastAsia="Times New Roman" w:hAnsi="Times New Roman" w:cs="Times New Roman"/>
                <w:b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vertAlign w:val="subscript"/>
              </w:rPr>
              <w:t xml:space="preserve"> 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b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“Permanent Adornment, standardization and rules”</w:t>
            </w:r>
          </w:p>
        </w:tc>
      </w:tr>
      <w:tr w:rsidR="00855760">
        <w:trPr>
          <w:trHeight w:val="555"/>
        </w:trPr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Permanent adornment standardization for males 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F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Permanent adornment standardization for females 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Permanent adornment rules for males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</w:rPr>
              <w:t>Permanent adornment rules for females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center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b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“Non-permanent adornment, standardization”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AO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Overall non-permanent adornment standardization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NP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F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Non-permanent adornment standardization for females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NP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M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keepLines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Non-permanent adornment standardization for 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center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b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highlight w:val="white"/>
              </w:rPr>
              <w:t>“Clothing standardization &amp; non-permanent adornment rules”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CS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F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 xml:space="preserve"> Clothing standardization for females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CS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M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Clothing standardization for 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NP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F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Non-</w:t>
            </w:r>
            <w:r>
              <w:rPr>
                <w:rFonts w:ascii="Times New Roman" w:eastAsia="Times New Roman" w:hAnsi="Times New Roman" w:cs="Times New Roman"/>
              </w:rPr>
              <w:t xml:space="preserve">permanent adornment rules for females </w:t>
            </w:r>
          </w:p>
          <w:p w:rsidR="00855760" w:rsidRDefault="00855760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>NP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highlight w:val="white"/>
              </w:rPr>
              <w:t xml:space="preserve">M 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Non-</w:t>
            </w:r>
            <w:r>
              <w:rPr>
                <w:rFonts w:ascii="Times New Roman" w:eastAsia="Times New Roman" w:hAnsi="Times New Roman" w:cs="Times New Roman"/>
              </w:rPr>
              <w:t>permanent adornment rules for 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center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b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“Rules about clothing”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</w:rPr>
              <w:t>Overall standardization of clothing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</w:rPr>
              <w:t>Clothing rules for males</w:t>
            </w:r>
          </w:p>
        </w:tc>
      </w:tr>
      <w:tr w:rsidR="00855760">
        <w:tc>
          <w:tcPr>
            <w:tcW w:w="1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jc w:val="right"/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F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55760" w:rsidRDefault="00154265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Clothing rules for females </w:t>
            </w:r>
          </w:p>
        </w:tc>
      </w:tr>
    </w:tbl>
    <w:p w:rsidR="00855760" w:rsidRDefault="00855760">
      <w:pPr>
        <w:spacing w:after="200"/>
        <w:rPr>
          <w:rFonts w:ascii="Times New Roman" w:eastAsia="Times New Roman" w:hAnsi="Times New Roman" w:cs="Times New Roman"/>
        </w:rPr>
      </w:pPr>
    </w:p>
    <w:p w:rsidR="00855760" w:rsidRDefault="00855760">
      <w:pPr>
        <w:pStyle w:val="Heading2"/>
        <w:spacing w:after="200"/>
      </w:pPr>
    </w:p>
    <w:p w:rsidR="00855760" w:rsidRDefault="00855760">
      <w:pPr>
        <w:spacing w:after="200"/>
      </w:pPr>
    </w:p>
    <w:sectPr w:rsidR="00855760">
      <w:footerReference w:type="default" r:id="rId8"/>
      <w:pgSz w:w="15840" w:h="12240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AE7" w:rsidRDefault="006D0AE7">
      <w:pPr>
        <w:spacing w:line="240" w:lineRule="auto"/>
      </w:pPr>
      <w:r>
        <w:separator/>
      </w:r>
    </w:p>
  </w:endnote>
  <w:endnote w:type="continuationSeparator" w:id="0">
    <w:p w:rsidR="006D0AE7" w:rsidRDefault="006D0AE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AE7" w:rsidRDefault="006D0AE7">
    <w:pPr>
      <w:jc w:val="right"/>
    </w:pPr>
    <w:r>
      <w:fldChar w:fldCharType="begin"/>
    </w:r>
    <w:r>
      <w:instrText>PAGE</w:instrText>
    </w:r>
    <w:r>
      <w:fldChar w:fldCharType="separate"/>
    </w:r>
    <w:r w:rsidR="00F83D11">
      <w:rPr>
        <w:noProof/>
      </w:rPr>
      <w:t>1</w:t>
    </w:r>
    <w:r>
      <w:fldChar w:fldCharType="end"/>
    </w:r>
  </w:p>
  <w:p w:rsidR="006D0AE7" w:rsidRDefault="006D0AE7">
    <w:pPr>
      <w:widowControl w:val="0"/>
      <w:pBdr>
        <w:top w:val="nil"/>
        <w:left w:val="nil"/>
        <w:bottom w:val="nil"/>
        <w:right w:val="nil"/>
        <w:between w:val="nil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AE7" w:rsidRDefault="006D0AE7">
      <w:pPr>
        <w:spacing w:line="240" w:lineRule="auto"/>
      </w:pPr>
      <w:r>
        <w:separator/>
      </w:r>
    </w:p>
  </w:footnote>
  <w:footnote w:type="continuationSeparator" w:id="0">
    <w:p w:rsidR="006D0AE7" w:rsidRDefault="006D0AE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5487E"/>
    <w:multiLevelType w:val="multilevel"/>
    <w:tmpl w:val="BA166C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E9C6A36"/>
    <w:multiLevelType w:val="hybridMultilevel"/>
    <w:tmpl w:val="E960B8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B54DE7"/>
    <w:multiLevelType w:val="hybridMultilevel"/>
    <w:tmpl w:val="D264EE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285386"/>
    <w:multiLevelType w:val="hybridMultilevel"/>
    <w:tmpl w:val="E2FC8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760"/>
    <w:rsid w:val="00154265"/>
    <w:rsid w:val="002F6675"/>
    <w:rsid w:val="004976C9"/>
    <w:rsid w:val="00597C8E"/>
    <w:rsid w:val="006D0AE7"/>
    <w:rsid w:val="007A5091"/>
    <w:rsid w:val="00855760"/>
    <w:rsid w:val="00957997"/>
    <w:rsid w:val="00C155F3"/>
    <w:rsid w:val="00C91C09"/>
    <w:rsid w:val="00EF5B1F"/>
    <w:rsid w:val="00F8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094CDD"/>
  <w15:docId w15:val="{FA708D4E-23C5-4E57-BFB5-B609807C1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16B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F234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F234C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7F234C"/>
    <w:rPr>
      <w:color w:val="0000FF" w:themeColor="hyperlink"/>
      <w:u w:val="single"/>
    </w:r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rsid w:val="004976C9"/>
    <w:rPr>
      <w:sz w:val="32"/>
      <w:szCs w:val="32"/>
    </w:rPr>
  </w:style>
  <w:style w:type="paragraph" w:styleId="ListParagraph">
    <w:name w:val="List Paragraph"/>
    <w:basedOn w:val="Normal"/>
    <w:uiPriority w:val="34"/>
    <w:qFormat/>
    <w:rsid w:val="004976C9"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uiPriority w:val="10"/>
    <w:rsid w:val="004976C9"/>
    <w:rPr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x39M9+jHAruM3gfzXvc9nbuBEwQ==">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909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Yale University</Company>
  <LinksUpToDate>false</LinksUpToDate>
  <CharactersWithSpaces>6084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 Ember</dc:creator>
  <cp:lastModifiedBy>Carol Ember</cp:lastModifiedBy>
  <cp:revision>3</cp:revision>
  <dcterms:created xsi:type="dcterms:W3CDTF">2023-06-23T01:09:00Z</dcterms:created>
  <dcterms:modified xsi:type="dcterms:W3CDTF">2023-06-23T01:21:00Z</dcterms:modified>
</cp:coreProperties>
</file>